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er44.xml" ContentType="application/vnd.openxmlformats-officedocument.wordprocessingml.footer+xml"/>
  <Override PartName="/word/footer43.xml" ContentType="application/vnd.openxmlformats-officedocument.wordprocessingml.footer+xml"/>
  <Override PartName="/word/footer42.xml" ContentType="application/vnd.openxmlformats-officedocument.wordprocessingml.footer+xml"/>
  <Override PartName="/word/footer41.xml" ContentType="application/vnd.openxmlformats-officedocument.wordprocessingml.footer+xml"/>
  <Override PartName="/word/footer40.xml" ContentType="application/vnd.openxmlformats-officedocument.wordprocessingml.footer+xml"/>
  <Override PartName="/word/footer38.xml" ContentType="application/vnd.openxmlformats-officedocument.wordprocessingml.footer+xml"/>
  <Override PartName="/word/footer13.xml" ContentType="application/vnd.openxmlformats-officedocument.wordprocessingml.footer+xml"/>
  <Override PartName="/word/footer37.xml" ContentType="application/vnd.openxmlformats-officedocument.wordprocessingml.footer+xml"/>
  <Override PartName="/word/footer12.xml" ContentType="application/vnd.openxmlformats-officedocument.wordprocessingml.footer+xml"/>
  <Override PartName="/word/footer36.xml" ContentType="application/vnd.openxmlformats-officedocument.wordprocessingml.footer+xml"/>
  <Override PartName="/word/footer11.xml" ContentType="application/vnd.openxmlformats-officedocument.wordprocessingml.footer+xml"/>
  <Override PartName="/word/footer35.xml" ContentType="application/vnd.openxmlformats-officedocument.wordprocessingml.footer+xml"/>
  <Override PartName="/word/footer10.xml" ContentType="application/vnd.openxmlformats-officedocument.wordprocessingml.footer+xml"/>
  <Override PartName="/word/footer39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1.xml" ContentType="application/vnd.openxmlformats-officedocument.wordprocessingml.footer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30.xml" ContentType="application/vnd.openxmlformats-officedocument.wordprocessingml.footer+xml"/>
  <Override PartName="/word/footer8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Anglický jazyk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Pokročilá znalost anglického jazyka.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KJP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Výuka anglického jazyka pro středně pokročilé a pokročilé studenty.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Zkouška z všeobecného a odborného anglického jazyka (gramatika, poslech, četba s porozuměním, esej) na pokročilé úrovni.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M. Foley, D. Hall: Total English Elementary - Students' Book + Workbook with key (Pearson - Longman)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R. Acklam, A. Crace: Total English Pre-Intermediate - Students' Book + Workbook with key (Pearson - Longman)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A. Clare, J.J. Wilson: Total English Intermediate; Total English Upper Intermediate; Total English Advanced - Students'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Book + Workbook with key (Pearson - Longman)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R. Acklam, A. Crace: Total English Upper Intermediate - Students' Book + Workbook with key (Pearson - Longman)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J.J. Wilson, A. Clare: Total English Advanced - Students' Book + Workbook with key (Pearson - Longman)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A. Křepinská a kol.: Rozšiřující materiály pro výuku anglického jazyka (Matfyzpress).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Angličtina pro jazykové školy I - III. (E. Zábojová, J. Peprník, S. Nangonová; D. Sparling, nakl. Fortuna)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Anglický jazyk pro středně pokročilé a pokročilé I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 anglického jazyka.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KJP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Výuka anglického jazyka pro mírně pokročilé.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A. Crace, R. Acklam: New Total English Pre-Intermediate - Students' Book + Workbook with key (Pearson Longman);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A. Křepinská, M. Bubeníková, M. Mikuláš: Angličtina pro studenty MFF UK (Matfyzpress)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Anglický jazyk pro středně pokročilé a pokročilé II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 anglického jazyka.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KJP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Navazující výuka anglického jazyka pro středně pokročilé a pokročilé.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Pro úroveň C: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A.Grace, R. Acklam: New Total English Upper-Intermediate - Students' Book + Workbook with key (Pearson Longman).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Pro úroveň D: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JJ Wilson, A. Clare: New Total English Advanced - Students' Book + Workbook with key (Pearson Longman).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Pro obě úrovně materiál pro studium odborného jazyka: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A.Křepinská, M. Bubeníková, M. Mikuláš: Angličtina pro studenty MFF UK (Matfyzpress)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Anglický jazyk pro středně pokročilé a pokročilé III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 anglického jazyka.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KJP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Navazující výuka anglického jazyka pro středně pokročilé a pokročilé.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Pro úroveň C: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A.Grace, R. Acklam: New Total English Upper-Intermediate - Students' Book + Workbook with key (Pearson Longman).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Pro úroveň D: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JJ Wilson, A. Clare: New Total English Advanced - Students' Book + Workbook with key (Pearson Longman).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Pro obě úrovně materiál pro studium odborného jazyka: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A.Křepinská, M. Bubeníková, M. Mikuláš: Angličtina pro studenty MFF UK (Matfyzpress)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Anglický jazyk pro středně pokročilé a pokročilé IV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 anglického jazyka.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KJP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Navazující výuka anglického jazyka pro středně pokročilé a pokročilé.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Pro úroveň C: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A.Grace, R. Acklam: New Total English Upper-Intermediate - Students' Book + Workbook with key (Pearson Longman).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Pro úroveň D: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JJ Wilson, A. Clare: New Total English Advanced - Students' Book + Workbook with key (Pearson Longman).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Pro obě úrovně materiál pro studium odborného jazyka: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A.Křepinská, M. Bubeníková, M. Mikuláš: Angličtina pro studenty MFF UK (Matfyzpress)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Bankovnictví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 xml:space="preserve">doporučený volitelný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  <w:t>Z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  <w:t xml:space="preserve">  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financí.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Prof. Ing. Michal Mejstřík, CSc.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Modely chování úrokových sazeb. 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Analýza subjektů bankovního odvětví.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Metody řízení bank.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Mejstřík, M., Pečená, M., Teplý, P.: Basic Principles of Banking. Karolinum, 2008.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Demografie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pravděpodobnosti.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Lucie Mazurová,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Populační teorie.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Úmrtnostní tabulky. Míra úmrtnosti.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Konstrukce dekrementních tabulek.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Dynamické modelování úmrtnosti.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Benjamin, B., Pollard, J.H. : The Analysis of Mortality and Other Actuarial Statistics. Institute of Actuaries and the Faculty of Actuaries in Scotland, London, 1993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Bowers, N.L. et al.: Actuarial Mathematics. The Society of Actuaries, Itasca, 1986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Brown, R.L.: Introduction to the mathematics of demography. ACTEX Publications, Winsted and Avon, Connecticut, 1991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Koschin, F.: Aktuárská demografie. VŠE Praha, 1993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Ekonomie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Sebastiano Vitali,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Teorie nabídky a poptávky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Teorie chování spotřebitele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Teorie firmy v dokonalé i nedokonalé konkurenci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Úvod do makroekonomie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Vyučováno v angličtině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Samouelson, P.A., Nordhaus, W.D., Ekonomie, Nakladatelství Svoboda-Libertas, 1992, 1997.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Frank, R. H.,Mikroekonomie a chování, Nakladatelství Svoboda-Libertas, 1995.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Holman, R.: Mikroekonomie, první vydání Praha: C.H. Beck, 2002.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9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Finančně-pojistná praxe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195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financí, pojišťovnictví, pravděpodobnosti a statistiky.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Doc. RNDr. Ing. Miloš Kopa,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V rámci semináře bude probíhat praxe ve finanční nebo pojistné instituci případně na KPMS MFF UK. Cílem je řešit aktuální problémy z oblasti finanční nebo pojistné matematiky s využitím reálných dat. Výstupem praxe bude zpráva, kterou pak student bude prezentovat v závěru semináře.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22"/>
                <w:szCs w:val="18"/>
                <w:lang w:val="cs-CZ" w:eastAsia="cs-CZ"/>
              </w:rPr>
            </w:pPr>
            <w:r>
              <w:rPr>
                <w:i/>
                <w:sz w:val="22"/>
                <w:szCs w:val="18"/>
                <w:lang w:val="cs-CZ" w:eastAsia="cs-CZ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Povinná literatura: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Cipra, T.: Finanční a pojistné vzorce, 2006 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Cipra, T.: Praktický průvodce finanční a pojistnou matematikou, 2005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Doporučená literatura: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Cipra, T.: Finanční matematika v praxi, 1993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Cipra, T.: Pojistná matematika v praxi, 1994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Finanční management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financí.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Doc. RNDr. Ing. Miloš Kopa,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Hodnocení investičních projektů. Výnosové křivky. Hodnocení investic s pevným výnosem. Hodnocení finančních derivátů. Míry rizika. Výnos, očekávaný výnos a riziko portfolia. Optimální portfolio. Model oceňování kapitálových statků.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Povinná literatura: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Dupačová, J., Hurt, J., Štěpán, J.: Stochastic Modeling in Economics and Finance. Kluwer Academic Publishers. Dordrecht 2002.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Hurt, J.: Financial Management. Učebnice MFF UK. V přípravě  pro MATFYZPRESS. Praha 2018.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Doporučená literatura: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Cipra, T.: Finanční ekonometrie. Ekopress, Praha 2008.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Cipra, T.: Matematika cenných papírů. Kamil Mařík Professional Publishing. Praha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2013.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Hurt, J.: Risk measures in finance. In: 2008 International Mathematica User Conference. http://library.wolfram.com/infocenter/Conferences/7230/.  Champaign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(IL) 2008.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Hurt, J.: Risk measures in finance revisited. In: Wolfram Technology Conference 2010. http://library.wolfram.com/infocenter/Conferences/7861/  . Champaign (IL)  2010.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1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Kalkulus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základní teoreticý 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4/4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10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 xml:space="preserve">Základní znalosti z matematické analýzy v rozsahu Matematická analýza I. 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Mgr. Marek Cúth,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Taylorův polynom.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Integrál – Riemannův, Stieltjesův.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Lineární diferenciální rovnice.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Mocninné řady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O. Hájková, M. Johanis, O. John, O. Kalenda, M. Zelený: Matematika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P. Holický, O. Kalenda: Metody řešení vybraných úloh z matematické analýzy pro 2. - 4. semestr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V. Jarník: Integrální počet I, II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V. Jarník: Diferenciální počet I, II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Kalkulus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základní teoreticý 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matematické analýzy v rozsahu Kalkulus 1.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doc. RNDr. Pavel Pyrih, CSc.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Funkce více proměnných, věta o implicitních funkcích.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Extrémy a jejich zjišťování.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Úvod do teorie míry.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Vícerozměrný integrál.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Záměna pořadí integrálu a limity, integrálu a řady nebo integrálu a derivace.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O. Hájková, M. Johanis, O. John, O. Kalenda, M. Zelený: Matematika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J. Lukeš, J. Malý: Míra a integrál (Measure and integral)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P. Holický, O. Kalenda: Metody řešení vybraných úloh z matematické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analýzy pro 2. - 4. semestr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J. Lukeš: Příklady k teorii Lebesgueova integrálu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V. Jarník: Diferenciální počet I, II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3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Kalkulus 3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matematické analýzy v rozsahu Kalkulus 1 a 2.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doc. RNDr. Pavel Pyrih, CSc.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Zavedení Banachova a Hilbertova prostoru.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Lp prostory.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Věta o projekci.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  <w:lang w:val="cs-CZ" w:eastAsia="cs-CZ"/>
              </w:rPr>
              <w:t>Fourierova transformace.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Omezený lineární operátor.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Úvod do komplexní analýzy.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J. Kopáček: Matematika pro fyziky IV, V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S. Fučík, J. Milota: Matematická analýza II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B. Novák: Funkce komplexní proměnné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4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Lineární algebra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základní teoreticý 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10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doc. Mgr. Libor Barto,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Opakování analytické geometrie v rovině a prostoru, soustavy lineárních rovnic, tělesa, matice, vektorové prostory, lineární zobrazení, determinanty.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základní: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L. Barto, J. Tůma, Lineární algebra, elektronická skripta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L. Bican, Lineární algebra a geometrie, Academia, Praha 2000.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J. Bečvář, Vektorové prostory I, II, III, SPN Praha 1978, 1981, 1982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další 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C.D. Meyer, Matrix Analysis and Applied Linear Algebra, SIAM 2000.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T.S. Blyth, E.F. Robertson, Basic Linear Algebra, Springer Verlag London,2002,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S.H. Friedberg, A.J. Insel, L.E.Spence, Linear Algebra, Third Edition, Prentice-Hall, Inc., 1997.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5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Lineární algebra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základní teoreticý 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10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shd w:fill="FFFFFF" w:val="clear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Předpokládané znalosti na úrovni Lineární algebra 1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doc. Mgr. Libor Barto,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Skalární součin, vlastní čísla a vlastní vektory, diagonalizace, ortogonální diagonalizace, bilineární a kvadratické formy.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základní: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L. Barto, J. Tůma, Lineární algebra, elektronická skripta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L. Bican, Lineární algebra a geometrie, Academia, Praha 2000.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J. Bečvář, Vektorové prostory I, II, III, SPN Praha 1978, 1981, 1982.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C.D. Meyer, Matrix Analysis and Applied Linear Algebra, SIAM 2000.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T.S. Blyth, E.F. Robertson, Basic Linear Algebra, Springer Verlag London,2002,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S.H. Friedberg, A.J. Insel, L.E.Spence, Linear Algebra, Third Edition, Prentice-Hall, Inc., 1997.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Matematická analýza I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základní teoreticý 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3/3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7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Jakub Staněk,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Reálná čísla, supremum. Posloupnosti a jejich limity.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Funkce, elementární funkce. Spojitost, vlastnosti spojitých funkcí.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Derivace, věta o střední hodnotě a její důsledky, l’Hospitalovo pravidlo. Průběh funkce.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Číselné řady, absolutní a neabsolutní konvergence.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Povinná literatura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Veselý, J. Základy matematické analýzy I. Matfyzpress, Praha, 2004.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Veselý, J. Základy matematické analýzy II. Matfyzpress, Praha, 2009.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Kopáček, J. Matematická analýza nejen pro fyziky I. Matfyzpress, Praha, 2005.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Kopáček, J. Příklady z matematiky nejen pro fyziky I. Matfyzpress, Praha, 2004.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Doporučená literatura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Černý, I. Úvod do inteligentního kalkulu. Academia, Praha, 2002.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Brabec, J. a kol. Matematická analýza I. SNTL/Alfa, Praha, 1985.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Jarník, V. Diferenciální počet I. Academia, Praha, 1974.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7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Matematické metody ve financích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  <w:lang w:val="cs-CZ" w:eastAsia="cs-CZ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Předpokládané znalosti na úrovni předmětů Úvod do financí a Kalkulus 1.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  <w:lang w:val="cs-CZ" w:eastAsia="cs-CZ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  <w:lang w:val="cs-CZ" w:eastAsia="cs-CZ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Jitka Zichová, Dr.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Problematika úrokových měr.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Anuitní počet.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Výnosové rovnice.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Dluhopisová matematika.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Imunizace.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Základní: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 xml:space="preserve">Garrett, S.J.: An introduction to the mathematics of finance : a deterministic approach. Butterworth - Heinemann, Oxford, 2013. 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Cipra, T.: Matematika cenných papírů. Professional Publishing, Praha, 2013.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Dupačová, J., Hurt, J., Štěpán, J.: Stochastic Modelling in Economics and Finance. Kluwer, Dordrecht, 2002.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Doplňková: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Blake, D.: Analýza finančních trhů. Grada, Praha 1995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Cipra, T.: Finanční matematika v praxi. HZ, Praha, 1993.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Cipra, T.: Finanční a pojistné vzorce. Grada, Praha, 2006.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8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Matematický proseminář I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proseminář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Vlasta Moravcová,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Výroková logika.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Množiny, relace, zobrazení.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Funkce.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Vztahy mezi goniometrickými funkcemi.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Rovnice a nerovnice.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Komplexní čísla.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Současné středoškolské učebnice matematiky a sbírky úloh.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19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Matematický proseminář II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proseminář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RNDr. Vlasta Moravcová,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Planimetrie a stereometrie.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Analytická geometrie v rovině a prostoru.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Kombinatorika.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Řešeny budou mimo jiné úlohy propojující uvedená témata.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Současné středoškolské učebnice matematiky a sbírky úloh.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0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Matematika ve financích a pojišťovnictví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4/0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financí v rozsahu předmětu Úvod do financí.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Doc. RNDr. Ing. Miloš Kopa,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Matematika krátkodobých cenných papírů.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Matematika dlouhodobých cenných papírůj.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Matematika finančních derivátů.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Finanční spekulace.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Finanční riziko, základy teorie portfolia.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Základy pojistné matematiky (hlavně životní pojištění včetně úmrtnostních tabulek a komutačních čísel).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Cipra, T.: Praktický průvodce finanční a pojistnou matematikou. Ekopress, Praha 2015 (2.vydání, ISBN 978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80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87865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18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7)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Cipra, T.: Matematika cenných papírů. Professional Publishing, Praha 2013 (ISBN 978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80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7431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079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9)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Cipra, T.: Financial and Insurance Formulas. Springer , Heidelberg, Dordrecht, London, New York 2010 (ISBN 978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3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7908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2592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3, e-ISBN 978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3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7908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2593</w:t>
            </w:r>
            <w:r>
              <w:rPr>
                <w:rFonts w:cs="Cambria Math" w:ascii="Cambria Math" w:hAnsi="Cambria Math"/>
                <w:lang w:val="cs-CZ" w:eastAsia="cs-CZ"/>
              </w:rPr>
              <w:noBreakHyphen/>
            </w:r>
            <w:r>
              <w:rPr>
                <w:lang w:val="cs-CZ" w:eastAsia="cs-CZ"/>
              </w:rPr>
              <w:t>0)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1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Mathematica pro pokročilé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laboratorní práce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softwaru Mathematica.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doc. RNDr. Antonín Slavík,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Předmět volně navazuje na kurz Mathematica pro začátečníky. Jeho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cílem je demonstrovat využití programu Mathematica v dalších oblastech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matematiky a seznámit posluchače s některými pokročilejšími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programátorskými technikami. Kurz pokrývá následující témata: Tvorba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dokumentů v Mathematice. Numerické výpočty. Numerické řešení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i/>
                <w:sz w:val="18"/>
                <w:szCs w:val="18"/>
                <w:lang w:val="cs-CZ" w:eastAsia="cs-CZ"/>
              </w:rPr>
              <w:t>diferenciálních rovnic. 2D a 3D grafika. Digitální zpracování obrazu.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Tvorba externích balíčků. Funkce Manipulate. Grafické zobrazování dat.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Diskrétní matematika. Sledování a urychlování výpočtů, efektivita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programů.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Wolfram Language Documentation Center (dokumentace k programu Mathematica)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Wellin, P. R.: Programming with Mathematica. An Introduction. Cambridge University Press, 2013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Mangano, S.: Mathematica Cookbook. O'Reilly Media, 2010.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Wagon, S.: Mathematica in Action (3rd edition). Springer, 2010.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Mathematica pro začátečníky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laboratorní práce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doc. RNDr. Antonín Slavík,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Cílem předmětu je seznámení s počítačovým systémem Mathematica a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jeho využitím v různých oblastech matematiky. Kurz pokrývá následující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témata: Symbolická a numerická matematika, řešení rovnic. Lineární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algebra, matematická analýza. Grafy funkcí, křivky a plochy, zobrazování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diskrétních dat. Interpolace a aproximace. Náhodná čísla. Seznamy.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Globální a lokální pravidla. Vnitřní reprezentace výrazů. Predikáty,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vzory, anonymní funkce, funkcionální programování. Procedurální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programování. Grafika v rovině a v prostoru. Řetězce, práce se soubory.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Interaktivní vyhodnocování.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Wolfram Language Documentation Center (dokumentace k programu Mathematica)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Hazrat, R.: Mathematica. A Problem-Centered Approach (2nd edition).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Springer, 2015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Wellin, P. R.: Programming with Mathematica. An Introduction. Cambridge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University Press, 2013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3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Pojišťovací právo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JUDr. Ludvík Bohman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Pojištění z právního hlediska, nové zákony o pojištovnictví.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Karfíková M., Přikryl V. a kolektiv: Pojišťovací právo. Praha, Leges s.r.o., 2010.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Hulmák a kol.: Občanský zákoník VI., komentář k § 2756 - 2872), C.H.BECK 2014.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Bohman, Wawerková: Zákon o pojistné smlouvě, LINDE, 2009.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4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Praktické aspekty měření a řízení finančních rizik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financí, pravděpodobnosti a matematické statistiky.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lang w:val="cs-CZ" w:eastAsia="cs-CZ"/>
              </w:rPr>
              <w:t>Mgr. Václav Novotný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Přehled jednotlivých finančních rizik a metod jejich měření a řízení.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Popis fungování bank, pojišťoven a firem z hlediska řízení rizik.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Basel III a Solvency II.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Hand, D.J.; Henley, W.E.: Statistical Classification Methods in Consumer Credit Scoring: A Review, Journal of the Royal Statistical Society, Series A (Statistics in Society), Vol. 160, No. 3, 1997, 523 - 541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Hull, J. C.: Options, Futures and Other Derivatives, Prentice Hall, New Yersey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Frachot, A. a další: Loss Distribution Approach in Practice; Credit Lyonnais, 2003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Gordy, M.B.: A Comparative Anatomy of Credit Risk Models; 2000; Journal of Banking and Finance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Saunders, Anthony: Credit Risk Measurement: New Approaches to Value at Risk and Other Paradigms, John Wiley &amp; Sons, Inc.,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Vašíček, O.: Probability of Loss on Loan Portfolio; February 1987; KMV Corporation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5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Pravděpodobnost pro finanční matematiky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základní teoreticý 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matematické analýzy v rozsahu Kalkulus 1 a 2.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Jitka Zichová, Dr.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Náhodné jevy a jejich pravděpodobnost.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Náhodné veličiny.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Základní diskrétní a spojitá pravděpodobnostní rozdělení.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Náhodné vektory a mnohorozměrná pravděpodobnostní rozdělení.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Základní: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Karel Zvára, Josef Štěpán: Pravděpodobnost a matematická statistika. Matfyzpress, Praha 2012.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Jiří Anděl: Základy matematické statistiky. Matfyzpress, Praha 2005.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Doplňková: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Alfred Rényi: Teorie pravděpodobnosti. Academia, Praha, 1972.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Václav Dupač, Marie Hušková: Pravděpodobnost a matematická statistika. Karolinum, Praha, 1999.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6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Pravděpodobnostní a statistické problémy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doc. RNDr. Zbyněk Pawlas,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Úvod do diskrétní pravděpodobnosti a řešení zajímavých problémů pomocí jednoduchých pravděpodobnostních a statistických metod.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J. Anděl (2007): Matematika náhody, 3. vydání, Matfyzpress, Praha.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J. Bewersdorff (2005): Luck, Logic, and White Lies: The Mathematics of Games, A K Peters, Wellesley.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H. Tijms (2004): Understanding Probability: Chance Rules in Everyday Life, Cambridge University Press, Cambridge.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K. Zvára, J. Štěpán (2006): Pravděpodobnost a matematická statistika, 4. vydání, Matfyzpress, Praha.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7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Programování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laboratorní práce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doc. RNDr. Pavel Töpfer, CSc.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Základy jazyka Python.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Cykly a pole.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Třídění a vyhledávání.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Funkce.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Využívání knihoven.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Seznamy a řetězce.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Základní datové struktury.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Objekty a třídy.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Práce se soubory.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Pilgrim, M.: Ponořme se do Pythonu 3, CZ.NIC, Praha 2011.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8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Programování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programování v rozsahu Programování 1.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doc. RNDr. Pavel Töpfer, CSc.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Algoritmy a jejich složitost.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Třídění.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Reprezentace dat v paměti.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Rekurze.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Základní grafové algoritmy.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Metoda Rozděl a panuj.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Pravděpodobnostní algoritmy.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Mareš, M., Valla, T.: Průvodce labyrintem algoritmů, CZ.NIC, Praha 2017.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29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Statistika pro finanční matematiky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základní teoreticý 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matematické analýzy v rozsahu Kalkulus 1 a 2. Základné znalosti z pravděpodobnosti.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Michal Pešta,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Náhodný výběr a jeho vlastnosti. Bodové a intervalové odhady a jejich vlastnosti. Metody pro odhadování parametrů. Empirické, momentové odhady. Metoda maximální věrohodnosti. Teorie testování hypotéz. Jednovýběrové a párové metody pro spojitá data. Jednovýběrové metody pro diskrétní data. Dvouvýběrové metody pro spojitá data. Kontingenční tabulky. Analýza rozptylu. Korelační analýza.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Anděl J.: Statistické metody. MATFYZPRES, Praha 1998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Anděl J.: Základy matematické statistiky. MATFYZPRES, Praha 2002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Casella, G. and Berger, R.L.: Statistical Inference. 2nd edition. Duxbury Press, Pacific Grove, CA, 2002.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0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Statistika pro finanční matematiky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matematické statistiky v rozsahu předmětu Statistika pro finanční matematiky 1.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Michal Pešta,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Vyrovnávání dat, klouzavé průměry.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Modely růstu.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Lineární soustavy.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Markovovy řetězce s diskrétním časem a stavovým prostorem.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Časové řady, ARMA procesy.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Poissonův proces a příbuzné modely.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Povinná literatura: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Mandl P.: Pravděpodobnostní dynamické modely. Academia Praha 1985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Prášková, Z., Lachout, P.: Základy náhodných procesů I, Matfyzpress, Praha 2012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Prášková, Z.: Základy náhodných procesů II. Karolinum, 2004.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1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Tělesná výchova 1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shd w:fill="FFFFFF" w:val="clear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pohybové schopnosti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KTV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V průběhu bakalářského studia jsou povinné celkem čtyři semestry tělesné výchovy. Tento předmět si zapisují studenti zpravidla v zimním semestru 1.ročníku. Zápis tohoto předmětu je kapacitně omezen.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Tělesná výchova 2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shd w:fill="FFFFFF" w:val="clear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pohybové schopnosti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KTV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V průběhu bakalářského studia jsou povinné celkem čtyři semestry tělesné výchovy. Tento předmět si zapisují studenti zpravidla v letním semestru 1.ročníku. Zápis tohoto předmětu je kapacitně omezen.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3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Tělesná výchova 3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shd w:fill="FFFFFF" w:val="clear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pohybové schopnosti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KTV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V průběhu bakalářského studia jsou povinné celkem čtyři semestry tělesné výchovy. Tento předmět si zapisují studenti zpravidla v zimním semestru 2.ročníku. Zápis tohoto předmětu je kapacitně omezen.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4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Tělesná výchova 4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shd w:fill="FFFFFF" w:val="clear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pohybové schopnosti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KTV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V průběhu bakalářského studia jsou povinné celkem čtyři semestry tělesné výchovy. Tento předmět si zapisují studenti zpravidla v letním semestru 2.ročníku. Zápis tohoto předmětu je kapacitně omezen.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5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Účetnictví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Jitka Zichová, Dr.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Majetek podniku a zdroje jeho financování, rozvaha. Náklady, výnosy, výkaz zisku a ztráty. Podvojné účetnictví, účetní knihy, směrná účtová osnova a účtový rozvrh pro podnikatele. Účetní uzávěrka. Vnitřní kontrolní systém účetnictví, inventarizace majetku a závazků. Audit. Oceňování majetku a závazků. Účetní zásady. Harmonizace účetnictví, direktivy EU, standardy IAS/IFRS, US GAAP.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Základní: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Zichová, J.: Základy účetnictví. Matfyzpress, Praha 2015.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Kovanicová, D.: Abeceda účetních znalostí pro každého. Polygon, Praha, 2012. 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Vyhláška č. 500/2002 Sb. (Prováděcí vyhláška k podvojnému účetnictví).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Zákon č. 563/1991 Sb. (o účetnictví).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České účetní standardy pro účetní jednotky, které účtují podle vyhlášky č. 500/2002 Sb. (pro podnikatele).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Doplňková: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Kovanicová, D.: Finanční účetnictví. Světový koncept. Polygon, Praha 2005. 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Dvořáková, D.: Finanční účetnictví a výkaznictví podle mezinárodních účetních standardů IFRS.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C Press, Brno, 2009.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6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Úvod do financí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Jitka Zichová, Dr.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Základy financí.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Základy cenných papírů.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Základy finančních derivátů.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Základy finanční matematiky.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Základní: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Cipra, T.: Finanční matematika v praxi. HZ Praha, 1993.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Cipra, T.: Matematika cenných papírů. Professional Publishing, Praha, 2013.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Černohorský, J., Teplý P.: Základy financí. Grada, Praha, 2011.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Garrett, S. J.: An Introduction to the Mathematics of Finance. A Deterministic Approach. Butterworth, Heinemann, Oxford, 2013.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Doplňková: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Blake, D.: Analýza finančních trhů. Grada Publishing, Praha, 1995.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Cipra, T.: Finanční a pojistné vzorce. Grada, Praha, 2006.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Dupačová, J., Hurt, J., Štěpán, J.: Stochastic Modelling in Economics and Finance. Kluwer Academic Publishers, Dordrecht, 2002.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Dvořák, P.: Deriváty. Skripta VŠE Praha. Oeconomica, Praha, 2010.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Jílek, J.: Finanční a komoditní deriváty v praxi. Grada, Praha 2010.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7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Úvod do numerické matematiky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základní teoreticý 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matematické analýzy v rozsahu Kalkulus 1.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Miloslav Vlasák,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Přímé řešení soustav lineárních rovnic.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Metoda nejmenších čtverců.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Soustavy nelineárních rovnic.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Minimalizace funkcí více proměnných.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Aproximace funkcí.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Numerická integrace soustav obyčejných diferenciálních rovnic.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Problém vlastních čísel.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Iterační metody řešení soustav lineárních rovnic.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Základní: Úvod do numerické matematiky. https://vjanovsky.wixsite.com/vjanovsky    Doplňková: 1.  Deuflhard P. and Hohmann A.: Introduction to Scientific Computing, 2nd edition, Springer, 2002. 2.  Duintjer Tebbens J., Hnětýnková I., Plešinger M., Strakoš Z., Tichý P.:  Analýza metod pro maticové výpočty - Základní metody. MatfyzPress, 2012. 3.  Quarteroni A., Sacco R. and Saleri F.: Numerical Mathematics, Springer, 2000.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8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Úvod do optimalizace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základní teoreticý 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Cs w:val="22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Předpokládané znalosti na úrovni předmětů Kalkulus 1 a Lineární algebra 2.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Martin Branda,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1. Optimalizační úlohy a jejich formulace. Aplikace v ekonomii, financích, logistice a matematické statistice.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2. Základy konvexní analýzy (konvexní množiny, konvexní funkce více proměnných).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3. Úloha lineárního programování (struktura množiny přípustných řešení, přímá metoda řešení, simplexová metoda, dualita, Farkasova věta).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4. Úlohy celočíselného lineárního programování (aplikace, struktura množiny přípustných řešení, algoritmus branch-and-bound).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5. Úloha nelineárního programování (lokální a globální podmínky optimality, podmínky regularity, citlivost, výpočetní postupy).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6. Kvadratické programování jako speciální typ úlohy nelineárního programování.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Dupačová, J., Lachout, P.: Úvod do optimalizace. MatfyzPress, Praha, 2011.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Bazaraa, M.S.; Sherali, H.D.; Shetty, C.M.: Nonlinear programming: theory and algorithms. Wiley, New York, 1993.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Rockafellar, T.: Convex Analysis. Springer-Verlag, Berlin, 1975.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Wolsey, L.A.: Integer Programming, Wiley, New York, 1998.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39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Úvod do pojišťovnictví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pravděpodobnosti.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Lucie Mazurová,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Základní pojmy.  Parametrické modely rozdělení výší a počtů škod, základní charakteristiky škodních veličin, složená rozdělení. Úvod do tarifování: tarifní proměnné, tarifní třídy,přepočty sazebníku. Druhy technických rezerv v životním a neživotním pojištění, definice dle českého účetnictví a dle mezinárodních standardů. Základní formy proporcionálního a neproporcionálního zajištění, přístupy k stanovení zajistného. Specifika účetnictví pojišťoven.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Mandl, P., Mazurová, L.: Matematické základy neživotního pojištění. Matfyzpress, Praha 1999.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Klugman, S.A., Panjer, H.H., Willmot, G.E.: Loss Models, John Wiley &amp; Sons, 1998.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Bokšová, J.: Účetnictví komerčních pojišťoven - specifika v  ČR. Wolters Kluwer ČR, 2010.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České účetní standardy pro pojišťovny.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0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Veřejné finance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doporučený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financí.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PhDr. Natálie Švarcová,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Základní principy veřejných financí.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Teorie veřejné volby.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Zdanění a jeho dopad.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Stiglitz, J.E.: Economics of the Public Sector, 3. Edition, 2000.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Hillman, A.L.: Public Finance and Public Policy, Responsibilities and Limitations of Government, Cambridge University Press,  2009.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Gruber, J.: Public Finance and Public Policy, Worth Publishers, 2010.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Hindriks, J., Myles, G.D.: Intermediate Public Economics, The MIT Press, 2006.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Barr, N.:The Economics of the Welfare State, Stanford University Press, 2004.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Cullis, J., Jones, P.: Public Finance and Public Choice, McGraw Hill, 1998.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1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Vybrané pojistně-matematické metody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pojišťovnictví, pravděpodobnosti a matematické statistiky.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Lucie Mazurová,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Stanovení sazeb v multiplikativní tarifní struktuře.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Odhad rezerv na pojistná plnění pomocí vývojových trojúhelníků.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Pojistné v životním pojištění, výpočet pomocí cash- flow modelu.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Základní přístupy k oceňování pojistných závazků.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Mandl, P., Mazurová, L.: Matematické základy neživotního pojištění. Matfyzpress, Praha 1999.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Wuthrich, Mario V., Non-Life Insurance: Mathematics &amp; Statistics (March 14, 2017). Dostupné na  SSRN: https://ssrn.com/abstract=2319328.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Vybrané mezinárodní standardy finančního výkaznictví: http://www.ifrs.org/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Směrnice č. 2009/138/ES o přístupu k pojišťovací a zajišťovací činnosti a jejím výkonu (Solventnost II)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2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Výpočetní prostředky finanční a pojistné matematiky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3ZS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 a cvičení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Pokročilé znalosti z financí na úrovni předmětu Finanční management. Základní znalosti softwaru Mathematica a z optimalizace.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Doc. RNDr. Zdeněk Hlávka,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Tabulkový procesor Excel. Základy jazyka Visual Basic. Systém Mathematica (Wolfram Language). Základní techniky.  Matematické, statistické a finanční funkce systému. Integrované zdroje dat. Vnitřní struktura systému Mathematica. Funkcionální přístup. Asociativní pole. Práce s databázemi. Modelování a řešení finančních a pojistných problémů v systému Mathematica. Základy strojového učení (Machine Learning).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Povinná literatura: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Průběžně aktualizované přednášky na domovské stránce přednášejícího http://www.karlin.mff.cuni.cz/~hurt/VPFPM2017ZS.nb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Doporučená literatura: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Wolfram, S.: An Elementary Introduction to the Wolfram Language. Second Edition. Wolfram Media, Inc. Champaign (IL), 2017. Online: http://www.wolfram.com/language/elementary-introduction/2nd-ed/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Wolfram, S.: The Wolfram Language: Fast Introduction for Programmers.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http://reference.wolfram.com/language/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3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Vypracování a konzultace bakalářské práce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povinný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předmět profilujícího základu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0/4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6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seminář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shd w:fill="F2F2F2" w:val="clear"/>
              </w:rPr>
            </w:pPr>
            <w:r>
              <w:rPr>
                <w:rFonts w:eastAsia="Calibri" w:cs="Calibri" w:ascii="Calibri" w:hAnsi="Calibri"/>
                <w:b/>
                <w:i/>
                <w:sz w:val="2"/>
                <w:szCs w:val="24"/>
                <w:shd w:fill="F2F2F2" w:val="clear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Vedoucí bakalářské práce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100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Výuka probíhá formou individuálních konzultací mezi studentem a vedoucím bakalářské práce.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Podle zadání bakalářské práce.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sectPr>
          <w:footerReference w:type="default" r:id="rId44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tbl>
      <w:tblPr>
        <w:tblW w:w="10073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2693"/>
        <w:gridCol w:w="567"/>
        <w:gridCol w:w="2126"/>
        <w:gridCol w:w="993"/>
        <w:gridCol w:w="1072"/>
      </w:tblGrid>
      <w:tr>
        <w:trPr>
          <w:trHeight w:val="397" w:hRule="atLeast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ind w:left="0" w:hanging="0"/>
              <w:rPr/>
            </w:pPr>
            <w:r>
              <w:rPr>
                <w:rFonts w:cs="ZWAdobeF;Times New Roman" w:ascii="ZWAdobeF;Times New Roman" w:hAnsi="ZWAdobeF;Times New Roman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745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  <w:sz w:val="22"/>
                <w:lang w:val="cs-CZ" w:eastAsia="cs-CZ"/>
              </w:rPr>
              <w:t>Základy regrese</w:t>
            </w:r>
          </w:p>
        </w:tc>
      </w:tr>
      <w:tr>
        <w:trPr>
          <w:trHeight w:val="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povinně volitelný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3LS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b/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lang w:val="cs-CZ" w:eastAsia="cs-CZ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hd w:fill="FDE9D9" w:val="clear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k</w:t>
            </w:r>
            <w:r>
              <w:rPr>
                <w:b/>
                <w:shd w:fill="FDE9D9" w:val="clear"/>
              </w:rPr>
              <w:t>reditů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5</w:t>
            </w:r>
          </w:p>
        </w:tc>
      </w:tr>
    </w:tbl>
    <w:p>
      <w:pPr>
        <w:pStyle w:val="Normal"/>
        <w:spacing w:before="0" w:after="0"/>
        <w:ind w:left="708" w:hanging="357"/>
        <w:jc w:val="both"/>
        <w:rPr>
          <w:rFonts w:ascii="Calibri" w:hAnsi="Calibri" w:cs="Calibri"/>
          <w:b/>
          <w:b/>
          <w:sz w:val="14"/>
          <w:shd w:fill="D9D9D9" w:val="clear"/>
        </w:rPr>
      </w:pPr>
      <w:r>
        <w:rPr>
          <w:rFonts w:cs="Calibri" w:ascii="Calibri" w:hAnsi="Calibri"/>
          <w:b/>
          <w:sz w:val="14"/>
          <w:shd w:fill="D9D9D9" w:val="clear"/>
        </w:rPr>
      </w:r>
    </w:p>
    <w:p>
      <w:pPr>
        <w:pStyle w:val="Normal"/>
        <w:spacing w:lineRule="auto" w:line="240" w:before="0" w:after="0"/>
        <w:ind w:left="322" w:hanging="0"/>
        <w:rPr>
          <w:rFonts w:ascii="Calibri" w:hAnsi="Calibri" w:cs="Calibri"/>
          <w:b/>
          <w:b/>
          <w:i/>
          <w:i/>
          <w:sz w:val="18"/>
          <w:szCs w:val="19"/>
          <w:shd w:fill="D9D9D9" w:val="clear"/>
        </w:rPr>
      </w:pPr>
      <w:r>
        <w:rPr>
          <w:rFonts w:cs="Calibri" w:ascii="Calibri" w:hAnsi="Calibri"/>
          <w:b/>
          <w:i/>
          <w:sz w:val="18"/>
          <w:szCs w:val="19"/>
          <w:shd w:fill="D9D9D9" w:val="clear"/>
        </w:rPr>
      </w:r>
    </w:p>
    <w:tbl>
      <w:tblPr>
        <w:tblW w:w="10076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22"/>
        <w:gridCol w:w="992"/>
        <w:gridCol w:w="1702"/>
        <w:gridCol w:w="1418"/>
        <w:gridCol w:w="2126"/>
        <w:gridCol w:w="1171"/>
        <w:gridCol w:w="35"/>
        <w:gridCol w:w="10"/>
      </w:tblGrid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Dvousemestrální předmět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>
        <w:trPr>
          <w:trHeight w:val="62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přednáška</w:t>
            </w:r>
          </w:p>
        </w:tc>
      </w:tr>
      <w:tr>
        <w:trPr>
          <w:trHeight w:val="510" w:hRule="atLeast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7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i/>
                <w:i/>
                <w:sz w:val="2"/>
                <w:szCs w:val="24"/>
                <w:highlight w:val="white"/>
              </w:rPr>
            </w:pPr>
            <w:r>
              <w:rPr>
                <w:szCs w:val="22"/>
                <w:shd w:fill="FFFFFF" w:val="clear"/>
                <w:lang w:val="cs-CZ" w:eastAsia="cs-CZ"/>
              </w:rPr>
              <w:t>Základní znalosti z matematické statistiky v rozsahu Statistika pro finanční matematiky 1.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Garant předmětu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RNDr. Matúš Maciak, Ph.D.</w:t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80"/>
              <w:ind w:left="0" w:hanging="0"/>
              <w:rPr/>
            </w:pPr>
            <w:r>
              <w:rPr>
                <w:rFonts w:eastAsia="Calibri"/>
                <w:sz w:val="22"/>
                <w:szCs w:val="18"/>
                <w:lang w:val="cs-CZ" w:eastAsia="cs-CZ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Lineární regresní model i bez předpokladů normality.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Metoda nejmenších čtverců.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Koeficient determinace.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Kvantitativní a kvalitativní regresory, interakce a jejich interpretace.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Reziduální analýza a regresní diagnostika.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 xml:space="preserve">Testování podmodelů, výstavba modelu.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i/>
                <w:i/>
                <w:sz w:val="18"/>
                <w:szCs w:val="18"/>
                <w:lang w:val="cs-CZ" w:eastAsia="cs-CZ"/>
              </w:rPr>
            </w:pPr>
            <w:r>
              <w:rPr>
                <w:i/>
                <w:sz w:val="18"/>
                <w:szCs w:val="18"/>
                <w:lang w:val="cs-CZ" w:eastAsia="cs-CZ"/>
              </w:rPr>
              <w:t>Robustní přístupy v regresi.</w:t>
            </w:r>
          </w:p>
        </w:tc>
      </w:tr>
      <w:tr>
        <w:trPr>
          <w:trHeight w:val="567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Povinná: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ZVÁRA, K. Regrese. Matfyzpress: Praha, 2008, 253 s. ISBN: 978-80-7378-041-8.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Doporučená: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lang w:val="cs-CZ" w:eastAsia="cs-CZ"/>
              </w:rPr>
            </w:pPr>
            <w:r>
              <w:rPr>
                <w:lang w:val="cs-CZ" w:eastAsia="cs-CZ"/>
              </w:rPr>
              <w:t>KHURI, A. I. Linear Model Methodology. Chapman &amp; Hall/CRC: Boca Raton, 2010, xx+542 s. ISBN: 978-1-58488-481-1.</w:t>
            </w:r>
          </w:p>
        </w:tc>
      </w:tr>
      <w:tr>
        <w:trPr>
          <w:trHeight w:val="170" w:hRule="atLeast"/>
        </w:trPr>
        <w:tc>
          <w:tcPr>
            <w:tcW w:w="100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komente1"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DE9D9" w:val="clear"/>
            <w:tcMar>
              <w:left w:w="-2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b/>
                <w:shd w:fill="FDE9D9" w:val="clear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>
        <w:trPr>
          <w:trHeight w:val="838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  <w:szCs w:val="18"/>
                <w:shd w:fill="F2F2F2" w:val="clear"/>
              </w:rPr>
            </w:pPr>
            <w:r>
              <w:rPr>
                <w:sz w:val="22"/>
                <w:szCs w:val="18"/>
                <w:shd w:fill="F2F2F2" w:val="clear"/>
              </w:rPr>
            </w:r>
          </w:p>
        </w:tc>
      </w:tr>
      <w:tr>
        <w:trPr>
          <w:trHeight w:val="340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Vzory studijních distančních textů a multimediálních pomůcek</w:t>
            </w:r>
          </w:p>
        </w:tc>
      </w:tr>
      <w:tr>
        <w:trPr>
          <w:trHeight w:val="907" w:hRule="atLeast"/>
        </w:trPr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arou"/>
              <w:widowControl/>
              <w:snapToGrid w:val="false"/>
              <w:spacing w:lineRule="auto" w:line="240" w:before="0" w:after="0"/>
              <w:ind w:left="0" w:hanging="0"/>
              <w:rPr>
                <w:sz w:val="22"/>
                <w:szCs w:val="22"/>
                <w:shd w:fill="F2F2F2" w:val="clear"/>
              </w:rPr>
            </w:pPr>
            <w:r>
              <w:rPr>
                <w:sz w:val="22"/>
                <w:szCs w:val="22"/>
                <w:shd w:fill="F2F2F2" w:val="clear"/>
              </w:rPr>
            </w:r>
          </w:p>
        </w:tc>
      </w:tr>
    </w:tbl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tbl>
      <w:tblPr>
        <w:tblW w:w="10111" w:type="dxa"/>
        <w:jc w:val="left"/>
        <w:tblInd w:w="-78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330"/>
        <w:gridCol w:w="1781"/>
      </w:tblGrid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BDD6EE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Smluvně zajištěno</w:t>
            </w:r>
          </w:p>
        </w:tc>
      </w:tr>
      <w:tr>
        <w:trPr/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>
        <w:trPr>
          <w:trHeight w:val="1304" w:hRule="atLeast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hanging="0"/>
              <w:rPr>
                <w:rFonts w:eastAsia="Calibri"/>
                <w:sz w:val="22"/>
                <w:szCs w:val="22"/>
                <w:shd w:fill="D9D9D9" w:val="clear"/>
              </w:rPr>
            </w:pPr>
            <w:r>
              <w:rPr>
                <w:rFonts w:eastAsia="Calibri"/>
                <w:sz w:val="22"/>
                <w:szCs w:val="22"/>
                <w:shd w:fill="D9D9D9" w:val="clear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/>
                <w:sz w:val="22"/>
                <w:szCs w:val="18"/>
                <w:shd w:fill="D9D9D9" w:val="clear"/>
              </w:rPr>
            </w:pPr>
            <w:r>
              <w:rPr>
                <w:rFonts w:eastAsia="Calibri"/>
                <w:sz w:val="22"/>
                <w:szCs w:val="18"/>
                <w:shd w:fill="D9D9D9" w:val="clear"/>
              </w:rPr>
            </w:r>
          </w:p>
        </w:tc>
      </w:tr>
    </w:tbl>
    <w:p>
      <w:pPr>
        <w:pStyle w:val="Normal"/>
        <w:spacing w:before="0" w:after="160"/>
        <w:ind w:left="0" w:hanging="0"/>
        <w:rPr/>
      </w:pPr>
      <w:r>
        <w:rPr/>
      </w:r>
    </w:p>
    <w:p>
      <w:pPr>
        <w:sectPr>
          <w:footerReference w:type="default" r:id="rId45"/>
          <w:type w:val="nextPage"/>
          <w:pgSz w:w="11906" w:h="16838"/>
          <w:pgMar w:left="1191" w:right="1191" w:header="0" w:top="1021" w:footer="454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91" w:right="1191" w:header="0" w:top="1021" w:footer="454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mbria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ZWAdobeF">
    <w:altName w:val="Times New Roman"/>
    <w:charset w:val="00"/>
    <w:family w:val="auto"/>
    <w:pitch w:val="variable"/>
  </w:font>
  <w:font w:name="Cambria Math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6"/>
        <w:szCs w:val="16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spacing w:before="0" w:after="160"/>
      <w:rPr>
        <w:sz w:val="16"/>
        <w:szCs w:val="16"/>
      </w:rPr>
    </w:pPr>
    <w:r>
      <w:rPr>
        <w:sz w:val="16"/>
        <w:szCs w:val="16"/>
      </w:rPr>
      <w:t>formuláře pro přípravu návrhu SP – srpen 2017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ind w:left="357" w:hanging="357"/>
    </w:pPr>
    <w:rPr>
      <w:rFonts w:ascii="Times New Roman" w:hAnsi="Times New Roman" w:eastAsia="Times New Roman" w:cs="Times New Roman"/>
      <w:color w:val="auto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/>
      <w:keepLines/>
      <w:numPr>
        <w:ilvl w:val="0"/>
        <w:numId w:val="1"/>
      </w:numPr>
      <w:tabs>
        <w:tab w:val="left" w:pos="0" w:leader="none"/>
      </w:tabs>
      <w:spacing w:before="240" w:after="160"/>
      <w:ind w:left="360" w:hanging="360"/>
      <w:outlineLvl w:val="0"/>
      <w:outlineLvl w:val="0"/>
    </w:pPr>
    <w:rPr>
      <w:rFonts w:ascii="Calibri Light" w:hAnsi="Calibri Light" w:cs="Calibri Light"/>
      <w:color w:val="5B9BD5"/>
      <w:sz w:val="32"/>
      <w:szCs w:val="32"/>
    </w:rPr>
  </w:style>
  <w:style w:type="paragraph" w:styleId="Nadpis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" w:after="160"/>
      <w:ind w:left="360" w:hanging="357"/>
      <w:outlineLvl w:val="1"/>
      <w:outlineLvl w:val="1"/>
    </w:pPr>
    <w:rPr>
      <w:rFonts w:ascii="Calibri Light" w:hAnsi="Calibri Light" w:cs="Calibri Light"/>
      <w:color w:val="5B9BD5"/>
      <w:sz w:val="26"/>
      <w:szCs w:val="26"/>
    </w:rPr>
  </w:style>
  <w:style w:type="paragraph" w:styleId="Nadpis3">
    <w:name w:val="Heading 3"/>
    <w:basedOn w:val="Normal"/>
    <w:next w:val="Normal"/>
    <w:qFormat/>
    <w:pPr>
      <w:keepNext/>
      <w:keepLines/>
      <w:numPr>
        <w:ilvl w:val="2"/>
        <w:numId w:val="1"/>
      </w:numPr>
      <w:tabs>
        <w:tab w:val="left" w:pos="0" w:leader="none"/>
      </w:tabs>
      <w:spacing w:before="40" w:after="160"/>
      <w:ind w:left="1080" w:hanging="360"/>
      <w:outlineLvl w:val="2"/>
      <w:outlineLvl w:val="2"/>
    </w:pPr>
    <w:rPr>
      <w:rFonts w:ascii="Calibri Light" w:hAnsi="Calibri Light" w:cs="Calibri Light"/>
      <w:sz w:val="24"/>
      <w:szCs w:val="24"/>
    </w:rPr>
  </w:style>
  <w:style w:type="paragraph" w:styleId="Nadpis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cs="Cambria"/>
      <w:b/>
      <w:bCs/>
      <w:i/>
      <w:iCs/>
      <w:color w:val="4F81BD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 w:val="false"/>
      <w:bCs w:val="false"/>
      <w:i w:val="false"/>
      <w:iCs w:val="false"/>
    </w:rPr>
  </w:style>
  <w:style w:type="character" w:styleId="WW8Num4z0">
    <w:name w:val="WW8Num4z0"/>
    <w:qFormat/>
    <w:rPr>
      <w:rFonts w:ascii="Times New Roman" w:hAnsi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 w:val="24"/>
      <w:u w:val="none"/>
      <w:vertAlign w:val="baseline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 w:val="24"/>
      <w:u w:val="none"/>
      <w:vertAlign w:val="baseline"/>
    </w:rPr>
  </w:style>
  <w:style w:type="character" w:styleId="Standardnpsmoodstavce">
    <w:name w:val="Standardní písmo odstavce"/>
    <w:qFormat/>
    <w:rPr/>
  </w:style>
  <w:style w:type="character" w:styleId="WW8Num3z1">
    <w:name w:val="WW8Num3z1"/>
    <w:qFormat/>
    <w:rPr>
      <w:rFonts w:ascii="Courier New" w:hAnsi="Courier New" w:cs="Courier New"/>
      <w:sz w:val="21"/>
      <w:szCs w:val="21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Times New Roman" w:hAnsi="Times New Roman" w:cs="Times New Roman"/>
    </w:rPr>
  </w:style>
  <w:style w:type="character" w:styleId="WW8Num5z5">
    <w:name w:val="WW8Num5z5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  <w:sz w:val="18"/>
      <w:szCs w:val="18"/>
    </w:rPr>
  </w:style>
  <w:style w:type="character" w:styleId="WW8Num8z0">
    <w:name w:val="WW8Num8z0"/>
    <w:qFormat/>
    <w:rPr>
      <w:rFonts w:ascii="Times New Roman" w:hAnsi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 w:val="24"/>
      <w:u w:val="none"/>
      <w:vertAlign w:val="baseline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sz w:val="18"/>
      <w:szCs w:val="18"/>
    </w:rPr>
  </w:style>
  <w:style w:type="character" w:styleId="WW8Num11z0">
    <w:name w:val="WW8Num11z0"/>
    <w:qFormat/>
    <w:rPr>
      <w:rFonts w:ascii="Symbol" w:hAnsi="Symbol" w:cs="Symbol"/>
      <w:sz w:val="18"/>
      <w:szCs w:val="18"/>
    </w:rPr>
  </w:style>
  <w:style w:type="character" w:styleId="WW8Num12z0">
    <w:name w:val="WW8Num1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 w:val="24"/>
      <w:u w:val="none"/>
      <w:vertAlign w:val="baseline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  <w:szCs w:val="20"/>
    </w:rPr>
  </w:style>
  <w:style w:type="character" w:styleId="WW8Num16z1">
    <w:name w:val="WW8Num16z1"/>
    <w:qFormat/>
    <w:rPr>
      <w:rFonts w:ascii="Courier New" w:hAnsi="Courier New" w:cs="Courier New"/>
      <w:szCs w:val="20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  <w:sz w:val="16"/>
      <w:szCs w:val="16"/>
    </w:rPr>
  </w:style>
  <w:style w:type="character" w:styleId="WW8Num18z0">
    <w:name w:val="WW8Num18z0"/>
    <w:qFormat/>
    <w:rPr>
      <w:rFonts w:cs="Times New Roman"/>
    </w:rPr>
  </w:style>
  <w:style w:type="character" w:styleId="WW8Num19z0">
    <w:name w:val="WW8Num19z0"/>
    <w:qFormat/>
    <w:rPr>
      <w:rFonts w:ascii="Symbol" w:hAnsi="Symbol" w:cs="Symbol"/>
      <w:sz w:val="22"/>
      <w:szCs w:val="23"/>
    </w:rPr>
  </w:style>
  <w:style w:type="character" w:styleId="WW8Num19z1">
    <w:name w:val="WW8Num19z1"/>
    <w:qFormat/>
    <w:rPr>
      <w:rFonts w:ascii="Courier New" w:hAnsi="Courier New" w:cs="Courier New"/>
      <w:sz w:val="23"/>
      <w:szCs w:val="23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>
      <w:rFonts w:ascii="Courier New" w:hAnsi="Courier New" w:cs="Courier New"/>
      <w:sz w:val="21"/>
      <w:szCs w:val="21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  <w:sz w:val="22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5">
    <w:name w:val="WW8Num12z5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 w:val="24"/>
      <w:u w:val="none"/>
      <w:vertAlign w:val="baseline"/>
    </w:rPr>
  </w:style>
  <w:style w:type="character" w:styleId="WW8Num21z1">
    <w:name w:val="WW8Num21z1"/>
    <w:qFormat/>
    <w:rPr>
      <w:sz w:val="24"/>
    </w:rPr>
  </w:style>
  <w:style w:type="character" w:styleId="WW8Num21z2">
    <w:name w:val="WW8Num21z2"/>
    <w:qFormat/>
    <w:rPr/>
  </w:style>
  <w:style w:type="character" w:styleId="WW8Num21z3">
    <w:name w:val="WW8Num21z3"/>
    <w:qFormat/>
    <w:rPr>
      <w:rFonts w:cs="Times New Roman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sz w:val="20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  <w:szCs w:val="20"/>
    </w:rPr>
  </w:style>
  <w:style w:type="character" w:styleId="WW8Num29z1">
    <w:name w:val="WW8Num29z1"/>
    <w:qFormat/>
    <w:rPr>
      <w:rFonts w:ascii="Courier New" w:hAnsi="Courier New" w:cs="Courier New"/>
      <w:szCs w:val="20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  <w:sz w:val="16"/>
      <w:szCs w:val="16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  <w:color w:val="000000"/>
      <w:u w:val="none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i w:val="false"/>
      <w:sz w:val="18"/>
      <w:u w:val="none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cs="Times New Roman"/>
    </w:rPr>
  </w:style>
  <w:style w:type="character" w:styleId="WW8Num37z0">
    <w:name w:val="WW8Num37z0"/>
    <w:qFormat/>
    <w:rPr>
      <w:rFonts w:ascii="Symbol" w:hAnsi="Symbol" w:cs="Symbol"/>
      <w:sz w:val="22"/>
      <w:szCs w:val="23"/>
    </w:rPr>
  </w:style>
  <w:style w:type="character" w:styleId="WW8Num37z1">
    <w:name w:val="WW8Num37z1"/>
    <w:qFormat/>
    <w:rPr>
      <w:rFonts w:ascii="Courier New" w:hAnsi="Courier New" w:cs="Courier New"/>
      <w:sz w:val="23"/>
      <w:szCs w:val="23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Standardnpsmoodstavce1">
    <w:name w:val="Standardní písmo odstavce1"/>
    <w:qFormat/>
    <w:rPr/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styleId="ZhlavChar">
    <w:name w:val="Záhlaví Char"/>
    <w:qFormat/>
    <w:rPr>
      <w:rFonts w:ascii="Times New Roman" w:hAnsi="Times New Roman" w:cs="Times New Roman"/>
      <w:sz w:val="20"/>
      <w:szCs w:val="20"/>
    </w:rPr>
  </w:style>
  <w:style w:type="character" w:styleId="ZpatChar">
    <w:name w:val="Zápatí Char"/>
    <w:qFormat/>
    <w:rPr>
      <w:rFonts w:eastAsia="Times New Roman" w:cs="Times New Roman"/>
      <w:lang w:val="cs-CZ" w:bidi="ar-SA"/>
    </w:rPr>
  </w:style>
  <w:style w:type="character" w:styleId="Nadpis1Char">
    <w:name w:val="Nadpis 1 Char"/>
    <w:qFormat/>
    <w:rPr>
      <w:rFonts w:ascii="Calibri Light" w:hAnsi="Calibri Light" w:eastAsia="Times New Roman" w:cs="Times New Roman"/>
      <w:color w:val="5B9BD5"/>
      <w:sz w:val="32"/>
      <w:szCs w:val="32"/>
    </w:rPr>
  </w:style>
  <w:style w:type="character" w:styleId="Nadpis2Char">
    <w:name w:val="Nadpis 2 Char"/>
    <w:qFormat/>
    <w:rPr>
      <w:rFonts w:ascii="Calibri Light" w:hAnsi="Calibri Light" w:eastAsia="Times New Roman" w:cs="Times New Roman"/>
      <w:color w:val="5B9BD5"/>
      <w:sz w:val="26"/>
      <w:szCs w:val="26"/>
    </w:rPr>
  </w:style>
  <w:style w:type="character" w:styleId="Nadpis3Char">
    <w:name w:val="Nadpis 3 Char"/>
    <w:qFormat/>
    <w:rPr>
      <w:rFonts w:ascii="Calibri Light" w:hAnsi="Calibri Light" w:eastAsia="Times New Roman" w:cs="Times New Roman"/>
      <w:sz w:val="24"/>
      <w:szCs w:val="24"/>
    </w:rPr>
  </w:style>
  <w:style w:type="character" w:styleId="Slostrnky">
    <w:name w:val="Číslo stránky"/>
    <w:rPr>
      <w:rFonts w:cs="Times New Roman"/>
    </w:rPr>
  </w:style>
  <w:style w:type="character" w:styleId="TextpoznpodarouChar">
    <w:name w:val="Text pozn. pod čarou Char"/>
    <w:qFormat/>
    <w:rPr>
      <w:rFonts w:ascii="Times New Roman" w:hAnsi="Times New Roman" w:eastAsia="Times New Roman" w:cs="Times New Roman"/>
      <w:sz w:val="20"/>
      <w:szCs w:val="20"/>
    </w:rPr>
  </w:style>
  <w:style w:type="character" w:styleId="Internetovodkaz">
    <w:name w:val="Internetový odkaz"/>
    <w:rPr>
      <w:color w:val="0000FF"/>
      <w:u w:val="single"/>
    </w:rPr>
  </w:style>
  <w:style w:type="character" w:styleId="TextkomenteChar">
    <w:name w:val="Text komentáře Char"/>
    <w:qFormat/>
    <w:rPr>
      <w:rFonts w:ascii="Times New Roman" w:hAnsi="Times New Roman" w:eastAsia="Times New Roman" w:cs="Times New Roman"/>
      <w:sz w:val="20"/>
      <w:szCs w:val="20"/>
    </w:rPr>
  </w:style>
  <w:style w:type="character" w:styleId="ZkladntextodsazenChar">
    <w:name w:val="Základní text odsazený Char"/>
    <w:qFormat/>
    <w:rPr>
      <w:rFonts w:ascii="Times New Roman" w:hAnsi="Times New Roman" w:eastAsia="Times New Roman" w:cs="Times New Roman"/>
      <w:sz w:val="24"/>
      <w:szCs w:val="20"/>
    </w:rPr>
  </w:style>
  <w:style w:type="character" w:styleId="Zkladntextodsazen2Char">
    <w:name w:val="Základní text odsazený 2 Char"/>
    <w:qFormat/>
    <w:rPr>
      <w:rFonts w:ascii="Times New Roman" w:hAnsi="Times New Roman" w:eastAsia="Times New Roman" w:cs="Times New Roman"/>
      <w:sz w:val="24"/>
      <w:szCs w:val="20"/>
    </w:rPr>
  </w:style>
  <w:style w:type="character" w:styleId="Odkaznakoment1">
    <w:name w:val="Odkaz na komentář1"/>
    <w:qFormat/>
    <w:rPr>
      <w:sz w:val="16"/>
      <w:szCs w:val="16"/>
    </w:rPr>
  </w:style>
  <w:style w:type="character" w:styleId="PedmtkomenteChar">
    <w:name w:val="Předmět komentáře Char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ZkladntextChar">
    <w:name w:val="Základní text Char"/>
    <w:qFormat/>
    <w:rPr>
      <w:rFonts w:ascii="Times New Roman" w:hAnsi="Times New Roman" w:eastAsia="Times New Roman" w:cs="Times New Roman"/>
      <w:sz w:val="20"/>
      <w:szCs w:val="20"/>
    </w:rPr>
  </w:style>
  <w:style w:type="character" w:styleId="ProsttextChar">
    <w:name w:val="Prostý text Char"/>
    <w:qFormat/>
    <w:rPr>
      <w:rFonts w:eastAsia="Calibri" w:cs="Times New Roman"/>
      <w:szCs w:val="21"/>
    </w:rPr>
  </w:style>
  <w:style w:type="character" w:styleId="Nadpis4Char">
    <w:name w:val="Nadpis 4 Char"/>
    <w:qFormat/>
    <w:rPr>
      <w:rFonts w:ascii="Cambria" w:hAnsi="Cambria" w:eastAsia="Times New Roman" w:cs="Times New Roman"/>
      <w:b/>
      <w:bCs/>
      <w:i/>
      <w:iCs/>
      <w:color w:val="4F81BD"/>
      <w:sz w:val="20"/>
      <w:szCs w:val="20"/>
    </w:rPr>
  </w:style>
  <w:style w:type="character" w:styleId="Navtveninternetovodkaz">
    <w:name w:val="Navštívený internetový odkaz"/>
    <w:rPr>
      <w:color w:val="800080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;Times New Roman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FreeSans;Times New Roma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;Times New Roman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paragraph" w:styleId="Odstavecseseznamem">
    <w:name w:val="Odstavec se seznamem"/>
    <w:basedOn w:val="Normal"/>
    <w:qFormat/>
    <w:pPr>
      <w:spacing w:before="0" w:after="160"/>
      <w:ind w:left="720" w:hanging="357"/>
      <w:contextualSpacing/>
    </w:pPr>
    <w:rPr>
      <w:rFonts w:ascii="Calibri" w:hAnsi="Calibri" w:eastAsia="Calibri" w:cs="Arial"/>
      <w:sz w:val="22"/>
      <w:szCs w:val="22"/>
    </w:rPr>
  </w:style>
  <w:style w:type="paragraph" w:styleId="Poznmkapodarou">
    <w:name w:val="Footnote Text"/>
    <w:basedOn w:val="Normal"/>
    <w:pPr>
      <w:widowControl w:val="false"/>
    </w:pPr>
    <w:rPr/>
  </w:style>
  <w:style w:type="paragraph" w:styleId="Textkomente1">
    <w:name w:val="Text komentáře1"/>
    <w:basedOn w:val="Normal"/>
    <w:qFormat/>
    <w:pPr/>
    <w:rPr/>
  </w:style>
  <w:style w:type="paragraph" w:styleId="Megjegyzstrgya">
    <w:name w:val="Megjegyzés tárgya"/>
    <w:basedOn w:val="Textkomente1"/>
    <w:next w:val="Textkomente1"/>
    <w:qFormat/>
    <w:pPr/>
    <w:rPr>
      <w:b/>
      <w:bCs/>
    </w:rPr>
  </w:style>
  <w:style w:type="paragraph" w:styleId="Odsazentlatextu">
    <w:name w:val="Body Text Indent"/>
    <w:basedOn w:val="Normal"/>
    <w:pPr>
      <w:spacing w:before="0" w:after="60"/>
      <w:ind w:left="1276" w:hanging="709"/>
      <w:jc w:val="both"/>
    </w:pPr>
    <w:rPr>
      <w:sz w:val="24"/>
    </w:rPr>
  </w:style>
  <w:style w:type="paragraph" w:styleId="Zkladntextodsazen21">
    <w:name w:val="Základní text odsazený 21"/>
    <w:basedOn w:val="Normal"/>
    <w:qFormat/>
    <w:pPr>
      <w:spacing w:before="0" w:after="60"/>
      <w:ind w:left="567" w:hanging="357"/>
      <w:jc w:val="both"/>
    </w:pPr>
    <w:rPr>
      <w:sz w:val="24"/>
    </w:rPr>
  </w:style>
  <w:style w:type="paragraph" w:styleId="Psmenkovvelk1">
    <w:name w:val="Písmenkový velký 1"/>
    <w:basedOn w:val="Normal"/>
    <w:qFormat/>
    <w:pPr>
      <w:widowControl w:val="false"/>
      <w:tabs>
        <w:tab w:val="left" w:pos="0" w:leader="none"/>
      </w:tabs>
      <w:spacing w:before="0" w:after="120"/>
      <w:ind w:left="360" w:hanging="360"/>
      <w:jc w:val="both"/>
    </w:pPr>
    <w:rPr>
      <w:rFonts w:ascii="Calibri" w:hAnsi="Calibri" w:cs="Calibri"/>
      <w:b/>
      <w:color w:val="000000"/>
      <w:sz w:val="24"/>
    </w:rPr>
  </w:style>
  <w:style w:type="paragraph" w:styleId="Pedmtkomente">
    <w:name w:val="Předmět komentáře"/>
    <w:basedOn w:val="Textkomente1"/>
    <w:next w:val="Textkomente1"/>
    <w:qFormat/>
    <w:pPr/>
    <w:rPr>
      <w:b/>
      <w:bCs/>
    </w:rPr>
  </w:style>
  <w:style w:type="paragraph" w:styleId="Psmenkov6">
    <w:name w:val="Písmenkový 6"/>
    <w:basedOn w:val="Normal"/>
    <w:qFormat/>
    <w:pPr>
      <w:widowControl w:val="false"/>
      <w:tabs>
        <w:tab w:val="left" w:pos="0" w:leader="none"/>
      </w:tabs>
      <w:spacing w:lineRule="auto" w:line="240" w:before="0" w:after="120"/>
      <w:ind w:left="5382" w:hanging="360"/>
      <w:jc w:val="both"/>
    </w:pPr>
    <w:rPr>
      <w:rFonts w:ascii="Calibri" w:hAnsi="Calibri" w:cs="Calibri"/>
      <w:color w:val="000000"/>
      <w:sz w:val="24"/>
    </w:rPr>
  </w:style>
  <w:style w:type="paragraph" w:styleId="Novelizanbod">
    <w:name w:val="Novelizační bod"/>
    <w:basedOn w:val="Normal"/>
    <w:next w:val="Normal"/>
    <w:qFormat/>
    <w:pPr>
      <w:keepNext/>
      <w:keepLines/>
      <w:tabs>
        <w:tab w:val="left" w:pos="567" w:leader="none"/>
      </w:tabs>
      <w:spacing w:lineRule="auto" w:line="240" w:before="480" w:after="120"/>
      <w:ind w:left="567" w:hanging="567"/>
      <w:jc w:val="both"/>
    </w:pPr>
    <w:rPr>
      <w:rFonts w:eastAsia="MS Mincho;ＭＳ 明朝"/>
      <w:sz w:val="24"/>
      <w:szCs w:val="24"/>
    </w:rPr>
  </w:style>
  <w:style w:type="paragraph" w:styleId="Prosttext1">
    <w:name w:val="Prostý text1"/>
    <w:basedOn w:val="Normal"/>
    <w:qFormat/>
    <w:pPr>
      <w:spacing w:lineRule="auto" w:line="240" w:before="0" w:after="0"/>
      <w:ind w:left="0" w:hanging="0"/>
    </w:pPr>
    <w:rPr>
      <w:rFonts w:ascii="Calibri" w:hAnsi="Calibri" w:eastAsia="Calibri" w:cs="Calibri"/>
      <w:sz w:val="22"/>
      <w:szCs w:val="21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footer" Target="footer30.xml"/><Relationship Id="rId32" Type="http://schemas.openxmlformats.org/officeDocument/2006/relationships/footer" Target="footer31.xml"/><Relationship Id="rId33" Type="http://schemas.openxmlformats.org/officeDocument/2006/relationships/footer" Target="footer32.xml"/><Relationship Id="rId34" Type="http://schemas.openxmlformats.org/officeDocument/2006/relationships/footer" Target="footer33.xml"/><Relationship Id="rId35" Type="http://schemas.openxmlformats.org/officeDocument/2006/relationships/footer" Target="footer34.xml"/><Relationship Id="rId36" Type="http://schemas.openxmlformats.org/officeDocument/2006/relationships/footer" Target="footer35.xml"/><Relationship Id="rId37" Type="http://schemas.openxmlformats.org/officeDocument/2006/relationships/footer" Target="footer36.xml"/><Relationship Id="rId38" Type="http://schemas.openxmlformats.org/officeDocument/2006/relationships/footer" Target="footer37.xml"/><Relationship Id="rId39" Type="http://schemas.openxmlformats.org/officeDocument/2006/relationships/footer" Target="footer38.xml"/><Relationship Id="rId40" Type="http://schemas.openxmlformats.org/officeDocument/2006/relationships/footer" Target="footer39.xml"/><Relationship Id="rId41" Type="http://schemas.openxmlformats.org/officeDocument/2006/relationships/footer" Target="footer40.xml"/><Relationship Id="rId42" Type="http://schemas.openxmlformats.org/officeDocument/2006/relationships/footer" Target="footer41.xml"/><Relationship Id="rId43" Type="http://schemas.openxmlformats.org/officeDocument/2006/relationships/footer" Target="footer42.xml"/><Relationship Id="rId44" Type="http://schemas.openxmlformats.org/officeDocument/2006/relationships/footer" Target="footer43.xml"/><Relationship Id="rId45" Type="http://schemas.openxmlformats.org/officeDocument/2006/relationships/footer" Target="footer44.xml"/><Relationship Id="rId46" Type="http://schemas.openxmlformats.org/officeDocument/2006/relationships/numbering" Target="numbering.xml"/><Relationship Id="rId47" Type="http://schemas.openxmlformats.org/officeDocument/2006/relationships/fontTable" Target="fontTable.xml"/><Relationship Id="rId4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2018-02-05T11:37:00Z</dcterms:created>
  <dc:creator>KK</dc:creator>
  <dc:description/>
  <dc:language>cs-CZ</dc:language>
  <cp:lastModifiedBy>kopa</cp:lastModifiedBy>
  <cp:lastPrinted>2017-08-24T20:29:00Z</cp:lastPrinted>
  <dcterms:modified xsi:type="dcterms:W3CDTF">2018-02-05T11:37:00Z</dcterms:modified>
  <cp:revision>2</cp:revision>
  <dc:subject/>
  <dc:title/>
</cp:coreProperties>
</file>